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rPr>
      </w:pPr>
      <w:r>
        <w:rPr>
          <w:rFonts w:hint="eastAsia"/>
          <w:sz w:val="44"/>
        </w:rPr>
        <w:drawing>
          <wp:inline distT="0" distB="0" distL="0" distR="0">
            <wp:extent cx="1895475" cy="276225"/>
            <wp:effectExtent l="19050" t="0" r="9525" b="0"/>
            <wp:docPr id="1" name="图片 1" descr="新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校标"/>
                    <pic:cNvPicPr>
                      <a:picLocks noChangeAspect="1" noChangeArrowheads="1"/>
                    </pic:cNvPicPr>
                  </pic:nvPicPr>
                  <pic:blipFill>
                    <a:blip r:embed="rId4" cstate="print"/>
                    <a:srcRect/>
                    <a:stretch>
                      <a:fillRect/>
                    </a:stretch>
                  </pic:blipFill>
                  <pic:spPr>
                    <a:xfrm>
                      <a:off x="0" y="0"/>
                      <a:ext cx="1895475" cy="276225"/>
                    </a:xfrm>
                    <a:prstGeom prst="rect">
                      <a:avLst/>
                    </a:prstGeom>
                    <a:noFill/>
                    <a:ln w="9525">
                      <a:noFill/>
                      <a:miter lim="800000"/>
                      <a:headEnd/>
                      <a:tailEnd/>
                    </a:ln>
                  </pic:spPr>
                </pic:pic>
              </a:graphicData>
            </a:graphic>
          </wp:inline>
        </w:drawing>
      </w:r>
    </w:p>
    <w:p>
      <w:pPr>
        <w:rPr>
          <w:rFonts w:ascii="黑体" w:eastAsia="黑体"/>
          <w:sz w:val="24"/>
        </w:rPr>
      </w:pPr>
      <w:bookmarkStart w:id="0" w:name="_GoBack"/>
    </w:p>
    <w:bookmarkEnd w:id="0"/>
    <w:p>
      <w:pPr>
        <w:ind w:firstLine="360" w:firstLineChars="100"/>
        <w:rPr>
          <w:rFonts w:ascii="黑体" w:eastAsia="黑体"/>
          <w:sz w:val="36"/>
          <w:szCs w:val="27"/>
        </w:rPr>
      </w:pPr>
      <w:r>
        <w:rPr>
          <w:rFonts w:ascii="黑体" w:eastAsia="黑体"/>
          <w:sz w:val="36"/>
          <w:szCs w:val="27"/>
        </w:rPr>
        <w:t>关于</w:t>
      </w:r>
      <w:r>
        <w:rPr>
          <w:rFonts w:hint="eastAsia" w:ascii="黑体" w:eastAsia="黑体"/>
          <w:sz w:val="36"/>
          <w:szCs w:val="27"/>
        </w:rPr>
        <w:t>全面开展</w:t>
      </w:r>
      <w:r>
        <w:rPr>
          <w:rFonts w:ascii="黑体" w:eastAsia="黑体"/>
          <w:sz w:val="36"/>
          <w:szCs w:val="27"/>
        </w:rPr>
        <w:t>实验室安全</w:t>
      </w:r>
      <w:r>
        <w:rPr>
          <w:rFonts w:hint="eastAsia" w:ascii="黑体" w:eastAsia="黑体"/>
          <w:sz w:val="36"/>
          <w:szCs w:val="27"/>
        </w:rPr>
        <w:t>规范管理自查工作</w:t>
      </w:r>
      <w:r>
        <w:rPr>
          <w:rFonts w:ascii="黑体" w:eastAsia="黑体"/>
          <w:sz w:val="36"/>
          <w:szCs w:val="27"/>
        </w:rPr>
        <w:t>的通知</w:t>
      </w:r>
    </w:p>
    <w:p>
      <w:pPr>
        <w:rPr>
          <w:b/>
          <w:bCs/>
          <w:sz w:val="13"/>
          <w:szCs w:val="13"/>
        </w:rPr>
      </w:pPr>
    </w:p>
    <w:p>
      <w:pPr>
        <w:spacing w:line="360" w:lineRule="auto"/>
        <w:rPr>
          <w:b/>
          <w:bCs/>
          <w:sz w:val="28"/>
        </w:rPr>
      </w:pPr>
      <w:r>
        <w:rPr>
          <w:b/>
          <w:bCs/>
          <w:sz w:val="28"/>
        </w:rPr>
        <w:t>各二级学院</w:t>
      </w:r>
      <w:r>
        <w:rPr>
          <w:rFonts w:hint="eastAsia"/>
          <w:b/>
          <w:bCs/>
          <w:sz w:val="28"/>
        </w:rPr>
        <w:t>、部</w:t>
      </w:r>
      <w:r>
        <w:rPr>
          <w:b/>
          <w:bCs/>
          <w:sz w:val="28"/>
        </w:rPr>
        <w:t>、中心：</w:t>
      </w:r>
    </w:p>
    <w:p>
      <w:pPr>
        <w:spacing w:line="360" w:lineRule="auto"/>
        <w:ind w:firstLine="480" w:firstLineChars="200"/>
        <w:rPr>
          <w:rFonts w:ascii="宋体" w:hAnsi="宋体"/>
          <w:sz w:val="24"/>
        </w:rPr>
      </w:pPr>
      <w:r>
        <w:rPr>
          <w:rFonts w:hint="eastAsia" w:ascii="宋体" w:hAnsi="宋体"/>
          <w:sz w:val="24"/>
        </w:rPr>
        <w:t>实验室安全管理是高校开展实践教学、科学研究、社会服务的重要保障，但因管理不善而引发的实验室人员伤亡和财产损失事故时有发生。近年来不断发生在高校实验室的重大安全事故为我们敲响了警钟。2018年12月26日，北京交通大学一实验室内学生在进行垃圾渗滤液污水处理科研试验时发生爆炸，造成重大人员伤亡，再次给我们敲响了警钟。经学校研究决定，在进行全校性实验室安全抽查的基础上，请各二级学院、部、中心在2018年12月28日-2019年1月15日期间全面开展实验室安全规范管理自查工作，具体自查内容、要求如下。</w:t>
      </w:r>
    </w:p>
    <w:p>
      <w:pPr>
        <w:spacing w:line="360" w:lineRule="auto"/>
        <w:ind w:firstLine="480" w:firstLineChars="200"/>
        <w:rPr>
          <w:rFonts w:ascii="宋体" w:hAnsi="宋体"/>
          <w:sz w:val="24"/>
        </w:rPr>
      </w:pPr>
      <w:r>
        <w:rPr>
          <w:rFonts w:hint="eastAsia" w:ascii="宋体" w:hAnsi="宋体"/>
          <w:sz w:val="24"/>
        </w:rPr>
        <w:t>一、实验室安全自查重点内容</w:t>
      </w:r>
    </w:p>
    <w:p>
      <w:pPr>
        <w:spacing w:line="360" w:lineRule="auto"/>
        <w:ind w:firstLine="480" w:firstLineChars="200"/>
        <w:rPr>
          <w:rFonts w:ascii="宋体" w:hAnsi="宋体" w:cs="宋体"/>
          <w:color w:val="000000"/>
          <w:sz w:val="24"/>
          <w:lang w:val="zh-CN"/>
        </w:rPr>
      </w:pPr>
      <w:r>
        <w:rPr>
          <w:rFonts w:hint="eastAsia" w:ascii="宋体" w:hAnsi="宋体"/>
          <w:sz w:val="24"/>
        </w:rPr>
        <w:t xml:space="preserve">1. </w:t>
      </w:r>
      <w:r>
        <w:rPr>
          <w:rFonts w:hint="eastAsia" w:ascii="宋体" w:hAnsi="宋体" w:cs="宋体"/>
          <w:color w:val="000000"/>
          <w:sz w:val="24"/>
          <w:lang w:val="zh-CN"/>
        </w:rPr>
        <w:t>危险化学品及废弃物安全管理：所有危险化学品必须按需购买、按需领用，规范做好入库、出库、领用登记工作，加强易燃、易爆、易制毒、腐蚀、有毒、辐射物品等危险化学品日常安全管理工作，规范化学废弃物处置，由签约定点公司进行回收。进一步规范化学品的采购、存储、领用、保管、处置的安全管理工作。</w:t>
      </w:r>
    </w:p>
    <w:p>
      <w:pPr>
        <w:spacing w:line="360" w:lineRule="auto"/>
        <w:ind w:firstLine="480" w:firstLineChars="200"/>
        <w:rPr>
          <w:rFonts w:ascii="宋体" w:hAnsi="宋体"/>
          <w:sz w:val="24"/>
        </w:rPr>
      </w:pPr>
      <w:r>
        <w:rPr>
          <w:rFonts w:hint="eastAsia" w:ascii="宋体" w:hAnsi="宋体" w:cs="宋体"/>
          <w:color w:val="000000"/>
          <w:sz w:val="24"/>
          <w:lang w:val="zh-CN"/>
        </w:rPr>
        <w:t>2. 特种设备安全管理：所有气体钢瓶必须装入带报警装置的气瓶柜，标明名称、种类、用量、使用登记、负责人等基本信息，并按需购买，杜绝超量囤积；同时，做好高压灭菌锅等实验室特种设备的安全管理工作。</w:t>
      </w:r>
    </w:p>
    <w:p>
      <w:pPr>
        <w:spacing w:line="360" w:lineRule="auto"/>
        <w:ind w:firstLine="480" w:firstLineChars="200"/>
        <w:rPr>
          <w:rFonts w:ascii="宋体" w:hAnsi="宋体"/>
          <w:sz w:val="24"/>
        </w:rPr>
      </w:pPr>
      <w:r>
        <w:rPr>
          <w:rFonts w:hint="eastAsia" w:ascii="宋体" w:hAnsi="宋体"/>
          <w:sz w:val="24"/>
        </w:rPr>
        <w:t>3. 实验室安全环境整治工作。对实验室安全环境进行隐患排查，特别是需使用粉状试剂的实验室安全管理工作。对不同类型实验室做好通风、除湿、防潮、或增湿、保温、降温等不同环境要求，进一步做好安全环境整治工作，确保环境安全。</w:t>
      </w:r>
    </w:p>
    <w:p>
      <w:pPr>
        <w:spacing w:line="360" w:lineRule="auto"/>
        <w:ind w:firstLine="480" w:firstLineChars="200"/>
        <w:rPr>
          <w:rFonts w:ascii="宋体" w:hAnsi="宋体" w:cs="宋体"/>
          <w:color w:val="000000"/>
          <w:sz w:val="24"/>
          <w:highlight w:val="yellow"/>
          <w:lang w:val="zh-CN"/>
        </w:rPr>
      </w:pPr>
      <w:r>
        <w:rPr>
          <w:rFonts w:hint="eastAsia" w:ascii="宋体" w:hAnsi="宋体"/>
          <w:sz w:val="24"/>
          <w:highlight w:val="yellow"/>
        </w:rPr>
        <w:t>4. 实验室用电安全管理工作。</w:t>
      </w:r>
      <w:r>
        <w:rPr>
          <w:rFonts w:hint="eastAsia" w:ascii="宋体" w:hAnsi="宋体" w:cs="宋体"/>
          <w:color w:val="000000"/>
          <w:sz w:val="24"/>
          <w:highlight w:val="yellow"/>
          <w:lang w:val="zh-CN"/>
        </w:rPr>
        <w:t>所有实验室应逐一检查配电箱是否规范安装、空气开关是否正常、有无漏电保护装置、有无使用大功率电器（明火电炉、暖风器、电热壶等）、有无乱拉电线、电线是否老化、电源插座是否过载、长时间不用设备有无断电情况。</w:t>
      </w:r>
    </w:p>
    <w:p>
      <w:pPr>
        <w:spacing w:line="360" w:lineRule="auto"/>
        <w:ind w:firstLine="480" w:firstLineChars="200"/>
        <w:rPr>
          <w:rFonts w:ascii="宋体" w:hAnsi="宋体"/>
          <w:sz w:val="24"/>
          <w:highlight w:val="yellow"/>
        </w:rPr>
      </w:pPr>
      <w:r>
        <w:rPr>
          <w:rFonts w:hint="eastAsia" w:ascii="宋体" w:hAnsi="宋体" w:cs="宋体"/>
          <w:color w:val="000000"/>
          <w:sz w:val="24"/>
          <w:lang w:val="zh-CN"/>
        </w:rPr>
        <w:t xml:space="preserve">5. </w:t>
      </w:r>
      <w:r>
        <w:rPr>
          <w:rFonts w:hint="eastAsia" w:ascii="宋体" w:hAnsi="宋体"/>
          <w:sz w:val="24"/>
          <w:highlight w:val="yellow"/>
        </w:rPr>
        <w:t>实验室消防安全管理工作。</w:t>
      </w:r>
      <w:r>
        <w:rPr>
          <w:rFonts w:hint="eastAsia" w:ascii="宋体" w:hAnsi="宋体" w:cs="宋体"/>
          <w:color w:val="000000"/>
          <w:sz w:val="24"/>
          <w:highlight w:val="yellow"/>
          <w:lang w:val="zh-CN"/>
        </w:rPr>
        <w:t>所有实验室应逐一检查消防设施有无配齐（灭火器、沙桶等）、消防通道有无堵塞，同时，清理杂物，做好实验室卫生工作。</w:t>
      </w:r>
    </w:p>
    <w:p>
      <w:pPr>
        <w:spacing w:line="360" w:lineRule="auto"/>
        <w:ind w:firstLine="480" w:firstLineChars="200"/>
        <w:rPr>
          <w:rFonts w:ascii="宋体" w:hAnsi="宋体" w:cs="宋体"/>
          <w:color w:val="000000"/>
          <w:sz w:val="24"/>
          <w:highlight w:val="yellow"/>
          <w:lang w:val="zh-CN"/>
        </w:rPr>
      </w:pPr>
      <w:r>
        <w:rPr>
          <w:rFonts w:hint="eastAsia" w:ascii="宋体" w:hAnsi="宋体"/>
          <w:sz w:val="24"/>
          <w:highlight w:val="yellow"/>
        </w:rPr>
        <w:t>6. 实验室操作安全规范工作。</w:t>
      </w:r>
      <w:r>
        <w:rPr>
          <w:rFonts w:hint="eastAsia" w:ascii="宋体" w:hAnsi="宋体" w:cs="宋体"/>
          <w:color w:val="000000"/>
          <w:sz w:val="24"/>
          <w:highlight w:val="yellow"/>
          <w:lang w:val="zh-CN"/>
        </w:rPr>
        <w:t>所有实验室应逐一检查实验室规章制度、设备设施安全操作规程、安全警示是否上墙明示，危险区域有无安全围挡、划线，检查学生进实验室前有否进行安全教育或宣讲、培训、或测试；有否严格按照操作规程实施实验教学；同时，检查实验室设备器材领用借用是否进行登记、验证，特别是公民两用设备如电脑、照相机、摄影机、电视机等是否严格按规定进行管理。</w:t>
      </w:r>
    </w:p>
    <w:p>
      <w:pPr>
        <w:spacing w:line="360" w:lineRule="auto"/>
        <w:ind w:firstLine="480" w:firstLineChars="200"/>
        <w:rPr>
          <w:rFonts w:ascii="宋体" w:hAnsi="宋体"/>
          <w:sz w:val="24"/>
          <w:highlight w:val="yellow"/>
        </w:rPr>
      </w:pPr>
      <w:r>
        <w:rPr>
          <w:rFonts w:hint="eastAsia" w:ascii="宋体" w:hAnsi="宋体" w:cs="宋体"/>
          <w:color w:val="000000"/>
          <w:sz w:val="24"/>
          <w:highlight w:val="yellow"/>
          <w:lang w:val="zh-CN"/>
        </w:rPr>
        <w:t xml:space="preserve">7. </w:t>
      </w:r>
      <w:r>
        <w:rPr>
          <w:rFonts w:hint="eastAsia" w:ascii="宋体" w:hAnsi="宋体"/>
          <w:sz w:val="24"/>
          <w:highlight w:val="yellow"/>
        </w:rPr>
        <w:t>实验室</w:t>
      </w:r>
      <w:r>
        <w:rPr>
          <w:rFonts w:ascii="宋体" w:hAnsi="宋体"/>
          <w:sz w:val="24"/>
          <w:highlight w:val="yellow"/>
        </w:rPr>
        <w:t>防火防水防盗</w:t>
      </w:r>
      <w:r>
        <w:rPr>
          <w:rFonts w:hint="eastAsia" w:ascii="宋体" w:hAnsi="宋体"/>
          <w:sz w:val="24"/>
          <w:highlight w:val="yellow"/>
        </w:rPr>
        <w:t>工作。要求在实验教学工作结束后对实验室</w:t>
      </w:r>
      <w:r>
        <w:rPr>
          <w:rFonts w:ascii="宋体" w:hAnsi="宋体"/>
          <w:sz w:val="24"/>
          <w:highlight w:val="yellow"/>
        </w:rPr>
        <w:t>水、电</w:t>
      </w:r>
      <w:r>
        <w:rPr>
          <w:rFonts w:hint="eastAsia" w:ascii="宋体" w:hAnsi="宋体"/>
          <w:sz w:val="24"/>
          <w:highlight w:val="yellow"/>
        </w:rPr>
        <w:t>管</w:t>
      </w:r>
      <w:r>
        <w:rPr>
          <w:rFonts w:ascii="宋体" w:hAnsi="宋体"/>
          <w:sz w:val="24"/>
          <w:highlight w:val="yellow"/>
        </w:rPr>
        <w:t>线</w:t>
      </w:r>
      <w:r>
        <w:rPr>
          <w:rFonts w:hint="eastAsia" w:ascii="宋体" w:hAnsi="宋体"/>
          <w:sz w:val="24"/>
          <w:highlight w:val="yellow"/>
        </w:rPr>
        <w:t>与气瓶等特殊压力容器</w:t>
      </w:r>
      <w:r>
        <w:rPr>
          <w:rFonts w:ascii="宋体" w:hAnsi="宋体"/>
          <w:sz w:val="24"/>
          <w:highlight w:val="yellow"/>
        </w:rPr>
        <w:t>以及防火、防盗、防水、防潮、防爆、防毒、防污染等设施</w:t>
      </w:r>
      <w:r>
        <w:rPr>
          <w:rFonts w:hint="eastAsia" w:ascii="宋体" w:hAnsi="宋体"/>
          <w:sz w:val="24"/>
          <w:highlight w:val="yellow"/>
        </w:rPr>
        <w:t>进行检查，并</w:t>
      </w:r>
      <w:r>
        <w:rPr>
          <w:rFonts w:ascii="宋体" w:hAnsi="宋体"/>
          <w:sz w:val="24"/>
          <w:highlight w:val="yellow"/>
        </w:rPr>
        <w:t>检查实验室的门窗，确保仪器设备电源、水源</w:t>
      </w:r>
      <w:r>
        <w:rPr>
          <w:rFonts w:hint="eastAsia" w:ascii="宋体" w:hAnsi="宋体"/>
          <w:sz w:val="24"/>
          <w:highlight w:val="yellow"/>
        </w:rPr>
        <w:t>、气源</w:t>
      </w:r>
      <w:r>
        <w:rPr>
          <w:rFonts w:ascii="宋体" w:hAnsi="宋体"/>
          <w:sz w:val="24"/>
          <w:highlight w:val="yellow"/>
        </w:rPr>
        <w:t>及空调、电扇、通风装置的开关</w:t>
      </w:r>
      <w:r>
        <w:rPr>
          <w:rFonts w:hint="eastAsia" w:ascii="宋体" w:hAnsi="宋体"/>
          <w:sz w:val="24"/>
          <w:highlight w:val="yellow"/>
        </w:rPr>
        <w:t>（特殊情况除外）</w:t>
      </w:r>
      <w:r>
        <w:rPr>
          <w:rFonts w:ascii="宋体" w:hAnsi="宋体"/>
          <w:sz w:val="24"/>
          <w:highlight w:val="yellow"/>
        </w:rPr>
        <w:t>和门、窗</w:t>
      </w:r>
      <w:r>
        <w:rPr>
          <w:rFonts w:hint="eastAsia" w:ascii="宋体" w:hAnsi="宋体"/>
          <w:sz w:val="24"/>
          <w:highlight w:val="yellow"/>
        </w:rPr>
        <w:t>处于</w:t>
      </w:r>
      <w:r>
        <w:rPr>
          <w:rFonts w:ascii="宋体" w:hAnsi="宋体"/>
          <w:sz w:val="24"/>
          <w:highlight w:val="yellow"/>
        </w:rPr>
        <w:t>关闭</w:t>
      </w:r>
      <w:r>
        <w:rPr>
          <w:rFonts w:hint="eastAsia" w:ascii="宋体" w:hAnsi="宋体"/>
          <w:sz w:val="24"/>
          <w:highlight w:val="yellow"/>
        </w:rPr>
        <w:t>状态</w:t>
      </w:r>
      <w:r>
        <w:rPr>
          <w:rFonts w:ascii="宋体" w:hAnsi="宋体"/>
          <w:sz w:val="24"/>
          <w:highlight w:val="yellow"/>
        </w:rPr>
        <w:t>，以防引发</w:t>
      </w:r>
      <w:r>
        <w:rPr>
          <w:rFonts w:hint="eastAsia" w:ascii="宋体" w:hAnsi="宋体"/>
          <w:sz w:val="24"/>
          <w:highlight w:val="yellow"/>
        </w:rPr>
        <w:t>偷盗、火灾等各类</w:t>
      </w:r>
      <w:r>
        <w:rPr>
          <w:rFonts w:ascii="宋体" w:hAnsi="宋体"/>
          <w:sz w:val="24"/>
          <w:highlight w:val="yellow"/>
        </w:rPr>
        <w:t>事故</w:t>
      </w:r>
      <w:r>
        <w:rPr>
          <w:rFonts w:hint="eastAsia" w:ascii="宋体" w:hAnsi="宋体"/>
          <w:sz w:val="24"/>
          <w:highlight w:val="yellow"/>
        </w:rPr>
        <w:t>发生</w:t>
      </w:r>
      <w:r>
        <w:rPr>
          <w:rFonts w:ascii="宋体" w:hAnsi="宋体"/>
          <w:sz w:val="24"/>
          <w:highlight w:val="yellow"/>
        </w:rPr>
        <w:t>。</w:t>
      </w:r>
    </w:p>
    <w:p>
      <w:pPr>
        <w:spacing w:line="360" w:lineRule="auto"/>
        <w:ind w:firstLine="465"/>
        <w:rPr>
          <w:rFonts w:hint="eastAsia" w:ascii="宋体" w:hAnsi="宋体"/>
          <w:sz w:val="24"/>
        </w:rPr>
      </w:pPr>
      <w:r>
        <w:rPr>
          <w:rFonts w:hint="eastAsia" w:ascii="宋体" w:hAnsi="宋体"/>
          <w:sz w:val="24"/>
        </w:rPr>
        <w:t>二、实验室安全自查要求</w:t>
      </w:r>
    </w:p>
    <w:p>
      <w:pPr>
        <w:spacing w:line="360" w:lineRule="auto"/>
        <w:ind w:firstLine="465"/>
        <w:rPr>
          <w:rFonts w:hint="eastAsia" w:ascii="宋体" w:hAnsi="宋体"/>
          <w:sz w:val="24"/>
        </w:rPr>
      </w:pPr>
      <w:r>
        <w:rPr>
          <w:rFonts w:hint="eastAsia" w:ascii="宋体" w:hAnsi="宋体"/>
          <w:sz w:val="24"/>
        </w:rPr>
        <w:t>1. 全覆盖：全校小和山与安吉两校区所有实验室、实习基地的所有房间、所有实验室设备设施、气瓶、低值耐用品、易耗品、化学试剂、药品等均在自查范围内。</w:t>
      </w:r>
    </w:p>
    <w:p>
      <w:pPr>
        <w:spacing w:line="360" w:lineRule="auto"/>
        <w:ind w:firstLine="465"/>
        <w:rPr>
          <w:rFonts w:hint="eastAsia" w:ascii="宋体" w:hAnsi="宋体"/>
          <w:sz w:val="24"/>
        </w:rPr>
      </w:pPr>
      <w:r>
        <w:rPr>
          <w:rFonts w:hint="eastAsia" w:ascii="宋体" w:hAnsi="宋体"/>
          <w:sz w:val="24"/>
        </w:rPr>
        <w:t>2. 负责制：根据《浙江科技学院关于印发实验室安全管理办法的通知》（浙科院教[2018]57号），各二级学院、部、中心主要负责人是本学院实验室安全管理工作第一责任人，分管实验室副院长协助主要负责人做好实验室安全管理的具体工作，各学院下属实验室负责人是本实验室安全责任人，每位实验间使用者是本房间的直接安全负责人。</w:t>
      </w:r>
    </w:p>
    <w:p>
      <w:pPr>
        <w:spacing w:line="360" w:lineRule="auto"/>
        <w:ind w:left="483" w:leftChars="230"/>
        <w:jc w:val="left"/>
        <w:rPr>
          <w:rFonts w:hint="eastAsia" w:ascii="宋体" w:hAnsi="宋体"/>
          <w:sz w:val="24"/>
        </w:rPr>
      </w:pPr>
      <w:r>
        <w:rPr>
          <w:rFonts w:hint="eastAsia" w:ascii="宋体" w:hAnsi="宋体"/>
          <w:sz w:val="24"/>
        </w:rPr>
        <w:t>3. 请各二级学院、部、中心分管实验室副院长高度重视实验室安全规范管理工</w:t>
      </w:r>
    </w:p>
    <w:p>
      <w:pPr>
        <w:spacing w:line="360" w:lineRule="auto"/>
        <w:jc w:val="left"/>
        <w:rPr>
          <w:rFonts w:hint="eastAsia" w:ascii="宋体" w:hAnsi="宋体"/>
          <w:sz w:val="24"/>
        </w:rPr>
      </w:pPr>
      <w:r>
        <w:rPr>
          <w:rFonts w:hint="eastAsia" w:ascii="宋体" w:hAnsi="宋体"/>
          <w:sz w:val="24"/>
        </w:rPr>
        <w:t>作，会同实验室主任组织相关教师、实验技术人员、实验室管理人员对所属实验室、实习基地按上述安全自查重点内容</w:t>
      </w:r>
      <w:r>
        <w:rPr>
          <w:rFonts w:hint="eastAsia" w:ascii="宋体" w:hAnsi="宋体" w:cs="宋体"/>
          <w:color w:val="000000"/>
          <w:sz w:val="24"/>
          <w:lang w:val="zh-CN"/>
        </w:rPr>
        <w:t>逐一排查，对存在的隐患立即进行整改，对无法自行解决的问题，报相关部门解决，或报教务处、保卫处进行协调。</w:t>
      </w:r>
    </w:p>
    <w:p>
      <w:pPr>
        <w:spacing w:line="360" w:lineRule="auto"/>
        <w:ind w:firstLine="480" w:firstLineChars="200"/>
        <w:jc w:val="left"/>
        <w:rPr>
          <w:rFonts w:ascii="宋体" w:hAnsi="宋体"/>
          <w:sz w:val="24"/>
        </w:rPr>
      </w:pPr>
      <w:r>
        <w:rPr>
          <w:rFonts w:hint="eastAsia" w:ascii="宋体" w:hAnsi="宋体"/>
          <w:sz w:val="24"/>
        </w:rPr>
        <w:t>请各二级学院、部、中心牢固树立“安全第一”的思想与“隐患即事故”的意识，加强领导，明确和落实实验室安全自查工作，消除侥幸麻痹心理，坚持安全管理工作横向到边、纵向到底，不留死角，以确保实验学生人身安全和实验室设备设施安全，</w:t>
      </w:r>
      <w:r>
        <w:rPr>
          <w:rFonts w:ascii="宋体" w:hAnsi="宋体"/>
          <w:sz w:val="24"/>
        </w:rPr>
        <w:t>确保</w:t>
      </w:r>
      <w:r>
        <w:rPr>
          <w:rFonts w:hint="eastAsia" w:ascii="宋体" w:hAnsi="宋体"/>
          <w:sz w:val="24"/>
        </w:rPr>
        <w:t>校园的</w:t>
      </w:r>
      <w:r>
        <w:rPr>
          <w:rFonts w:ascii="宋体" w:hAnsi="宋体"/>
          <w:sz w:val="24"/>
        </w:rPr>
        <w:t>安全稳定</w:t>
      </w:r>
      <w:r>
        <w:rPr>
          <w:rFonts w:hint="eastAsia" w:ascii="宋体" w:hAnsi="宋体"/>
          <w:sz w:val="24"/>
        </w:rPr>
        <w:t>。</w:t>
      </w:r>
    </w:p>
    <w:p>
      <w:pPr>
        <w:spacing w:line="360" w:lineRule="auto"/>
        <w:ind w:left="483" w:leftChars="230"/>
        <w:rPr>
          <w:rFonts w:ascii="宋体" w:hAnsi="宋体"/>
          <w:sz w:val="24"/>
        </w:rPr>
      </w:pPr>
      <w:r>
        <w:rPr>
          <w:rFonts w:hint="eastAsia" w:ascii="宋体" w:hAnsi="宋体"/>
          <w:sz w:val="24"/>
        </w:rPr>
        <w:t>保卫处联系人：盛海波，行政楼108办公室，电话：</w:t>
      </w:r>
      <w:r>
        <w:rPr>
          <w:rFonts w:ascii="宋体" w:hAnsi="宋体"/>
          <w:sz w:val="24"/>
        </w:rPr>
        <w:t>85070837</w:t>
      </w:r>
      <w:r>
        <w:rPr>
          <w:rFonts w:hint="eastAsia" w:ascii="宋体" w:hAnsi="宋体"/>
          <w:sz w:val="24"/>
        </w:rPr>
        <w:t>，</w:t>
      </w:r>
      <w:r>
        <w:rPr>
          <w:rFonts w:ascii="宋体" w:hAnsi="宋体"/>
          <w:sz w:val="24"/>
        </w:rPr>
        <w:t>13606510670</w:t>
      </w:r>
    </w:p>
    <w:p>
      <w:pPr>
        <w:spacing w:line="360" w:lineRule="auto"/>
        <w:ind w:left="483" w:leftChars="230"/>
        <w:rPr>
          <w:rFonts w:ascii="宋体" w:hAnsi="宋体"/>
          <w:sz w:val="24"/>
        </w:rPr>
      </w:pPr>
      <w:r>
        <w:rPr>
          <w:rFonts w:hint="eastAsia" w:ascii="宋体" w:hAnsi="宋体"/>
          <w:sz w:val="24"/>
        </w:rPr>
        <w:t>教务处联系人：陈  烨，行政楼211办公室，电话：</w:t>
      </w:r>
      <w:r>
        <w:rPr>
          <w:rFonts w:ascii="宋体" w:hAnsi="宋体"/>
          <w:sz w:val="24"/>
        </w:rPr>
        <w:t>85070</w:t>
      </w:r>
      <w:r>
        <w:rPr>
          <w:rFonts w:hint="eastAsia" w:ascii="宋体" w:hAnsi="宋体"/>
          <w:sz w:val="24"/>
        </w:rPr>
        <w:t>196，15967102859</w:t>
      </w:r>
    </w:p>
    <w:p>
      <w:pPr>
        <w:spacing w:line="360" w:lineRule="auto"/>
        <w:ind w:left="483" w:leftChars="230"/>
        <w:rPr>
          <w:rFonts w:hint="eastAsia" w:ascii="黑体" w:eastAsia="黑体"/>
          <w:sz w:val="18"/>
        </w:rPr>
      </w:pPr>
    </w:p>
    <w:p>
      <w:pPr>
        <w:spacing w:line="360" w:lineRule="auto"/>
        <w:ind w:left="483" w:leftChars="230"/>
        <w:rPr>
          <w:rFonts w:ascii="黑体" w:eastAsia="黑体"/>
          <w:color w:val="000000" w:themeColor="text1"/>
          <w:sz w:val="32"/>
        </w:rPr>
      </w:pPr>
      <w:r>
        <w:rPr>
          <w:rFonts w:ascii="黑体" w:eastAsia="黑体"/>
          <w:sz w:val="18"/>
        </w:rPr>
        <w:t>                                     </w:t>
      </w:r>
      <w:r>
        <w:rPr>
          <w:rFonts w:hint="eastAsia" w:ascii="黑体" w:eastAsia="黑体"/>
          <w:sz w:val="18"/>
        </w:rPr>
        <w:t xml:space="preserve">                             </w:t>
      </w:r>
      <w:r>
        <w:rPr>
          <w:rFonts w:ascii="黑体" w:eastAsia="黑体"/>
          <w:sz w:val="18"/>
        </w:rPr>
        <w:t>  </w:t>
      </w:r>
      <w:r>
        <w:rPr>
          <w:rFonts w:hint="eastAsia" w:ascii="黑体" w:eastAsia="黑体"/>
          <w:sz w:val="18"/>
        </w:rPr>
        <w:t xml:space="preserve">    </w:t>
      </w:r>
      <w:r>
        <w:rPr>
          <w:rFonts w:hint="eastAsia" w:ascii="黑体" w:eastAsia="黑体"/>
          <w:sz w:val="32"/>
        </w:rPr>
        <w:t>教务</w:t>
      </w:r>
      <w:r>
        <w:rPr>
          <w:rFonts w:ascii="黑体" w:eastAsia="黑体"/>
          <w:sz w:val="32"/>
        </w:rPr>
        <w:t>处</w:t>
      </w:r>
      <w:r>
        <w:rPr>
          <w:rFonts w:hint="eastAsia" w:ascii="黑体" w:eastAsia="黑体"/>
          <w:sz w:val="32"/>
        </w:rPr>
        <w:t>、</w:t>
      </w:r>
      <w:r>
        <w:rPr>
          <w:rFonts w:hint="eastAsia" w:ascii="黑体" w:eastAsia="黑体"/>
          <w:color w:val="000000" w:themeColor="text1"/>
          <w:sz w:val="32"/>
        </w:rPr>
        <w:t>保卫处</w:t>
      </w:r>
      <w:r>
        <w:rPr>
          <w:rFonts w:ascii="黑体" w:eastAsia="黑体"/>
          <w:color w:val="000000" w:themeColor="text1"/>
          <w:sz w:val="32"/>
        </w:rPr>
        <w:t>  </w:t>
      </w:r>
    </w:p>
    <w:p>
      <w:pPr>
        <w:spacing w:line="360" w:lineRule="auto"/>
        <w:ind w:left="483" w:leftChars="230"/>
        <w:rPr>
          <w:rFonts w:ascii="宋体" w:hAnsi="宋体"/>
          <w:sz w:val="24"/>
          <w:szCs w:val="32"/>
        </w:rPr>
      </w:pPr>
      <w:r>
        <w:rPr>
          <w:rFonts w:ascii="黑体" w:eastAsia="黑体"/>
          <w:sz w:val="32"/>
        </w:rPr>
        <w:t>                                                </w:t>
      </w:r>
      <w:r>
        <w:rPr>
          <w:rFonts w:ascii="黑体" w:eastAsia="黑体"/>
          <w:sz w:val="32"/>
          <w:szCs w:val="18"/>
        </w:rPr>
        <w:t>        20</w:t>
      </w:r>
      <w:r>
        <w:rPr>
          <w:rFonts w:hint="eastAsia" w:ascii="黑体" w:eastAsia="黑体"/>
          <w:sz w:val="32"/>
          <w:szCs w:val="18"/>
        </w:rPr>
        <w:t>18</w:t>
      </w:r>
      <w:r>
        <w:rPr>
          <w:rFonts w:ascii="黑体" w:eastAsia="黑体"/>
          <w:sz w:val="32"/>
          <w:szCs w:val="18"/>
        </w:rPr>
        <w:t>年</w:t>
      </w:r>
      <w:r>
        <w:rPr>
          <w:rFonts w:hint="eastAsia" w:ascii="黑体" w:eastAsia="黑体"/>
          <w:sz w:val="32"/>
          <w:szCs w:val="18"/>
        </w:rPr>
        <w:t>12</w:t>
      </w:r>
      <w:r>
        <w:rPr>
          <w:rFonts w:ascii="黑体" w:eastAsia="黑体"/>
          <w:sz w:val="32"/>
          <w:szCs w:val="18"/>
        </w:rPr>
        <w:t>月</w:t>
      </w:r>
      <w:r>
        <w:rPr>
          <w:rFonts w:hint="eastAsia" w:ascii="黑体" w:eastAsia="黑体"/>
          <w:sz w:val="32"/>
          <w:szCs w:val="18"/>
        </w:rPr>
        <w:t>28</w:t>
      </w:r>
      <w:r>
        <w:rPr>
          <w:rFonts w:ascii="黑体" w:eastAsia="黑体"/>
          <w:sz w:val="32"/>
          <w:szCs w:val="18"/>
        </w:rPr>
        <w:t>日</w:t>
      </w:r>
      <w:r>
        <w:rPr>
          <w:sz w:val="32"/>
          <w:szCs w:val="18"/>
        </w:rPr>
        <w:t xml:space="preserve"> </w:t>
      </w:r>
    </w:p>
    <w:sectPr>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F98"/>
    <w:rsid w:val="00090FF2"/>
    <w:rsid w:val="00094B87"/>
    <w:rsid w:val="000A11F8"/>
    <w:rsid w:val="000D01FB"/>
    <w:rsid w:val="000E5B13"/>
    <w:rsid w:val="00113CB5"/>
    <w:rsid w:val="0014168C"/>
    <w:rsid w:val="00172A27"/>
    <w:rsid w:val="001B0B89"/>
    <w:rsid w:val="001D3952"/>
    <w:rsid w:val="001D5883"/>
    <w:rsid w:val="00215914"/>
    <w:rsid w:val="0022779A"/>
    <w:rsid w:val="00231ED7"/>
    <w:rsid w:val="00232737"/>
    <w:rsid w:val="002E7E24"/>
    <w:rsid w:val="003667C0"/>
    <w:rsid w:val="00380CA5"/>
    <w:rsid w:val="00386D95"/>
    <w:rsid w:val="00391B9C"/>
    <w:rsid w:val="00430181"/>
    <w:rsid w:val="00437FCA"/>
    <w:rsid w:val="004413B5"/>
    <w:rsid w:val="00451C08"/>
    <w:rsid w:val="00453C17"/>
    <w:rsid w:val="00456687"/>
    <w:rsid w:val="00470496"/>
    <w:rsid w:val="004744EB"/>
    <w:rsid w:val="004B245D"/>
    <w:rsid w:val="004E71CD"/>
    <w:rsid w:val="005132C3"/>
    <w:rsid w:val="00514C0E"/>
    <w:rsid w:val="0052684B"/>
    <w:rsid w:val="005C110E"/>
    <w:rsid w:val="005F5E1A"/>
    <w:rsid w:val="006343AA"/>
    <w:rsid w:val="006D4B65"/>
    <w:rsid w:val="006F1EF4"/>
    <w:rsid w:val="00767455"/>
    <w:rsid w:val="00797842"/>
    <w:rsid w:val="008060E6"/>
    <w:rsid w:val="008421F5"/>
    <w:rsid w:val="00865B80"/>
    <w:rsid w:val="00880F4C"/>
    <w:rsid w:val="0088181B"/>
    <w:rsid w:val="0089476F"/>
    <w:rsid w:val="00916D84"/>
    <w:rsid w:val="00921A7C"/>
    <w:rsid w:val="00934D38"/>
    <w:rsid w:val="00955DCF"/>
    <w:rsid w:val="009636EE"/>
    <w:rsid w:val="009B1787"/>
    <w:rsid w:val="009E1766"/>
    <w:rsid w:val="00A847B0"/>
    <w:rsid w:val="00A91A24"/>
    <w:rsid w:val="00AA476B"/>
    <w:rsid w:val="00AB733A"/>
    <w:rsid w:val="00AF5F46"/>
    <w:rsid w:val="00B23E8E"/>
    <w:rsid w:val="00B440A8"/>
    <w:rsid w:val="00B95408"/>
    <w:rsid w:val="00BE636F"/>
    <w:rsid w:val="00C16DB6"/>
    <w:rsid w:val="00C507AC"/>
    <w:rsid w:val="00C568A6"/>
    <w:rsid w:val="00C67CF2"/>
    <w:rsid w:val="00C83A2E"/>
    <w:rsid w:val="00D22908"/>
    <w:rsid w:val="00DA7995"/>
    <w:rsid w:val="00DB2BDE"/>
    <w:rsid w:val="00E06DC5"/>
    <w:rsid w:val="00E20A4A"/>
    <w:rsid w:val="00E44028"/>
    <w:rsid w:val="00EC5F28"/>
    <w:rsid w:val="00EF4BAF"/>
    <w:rsid w:val="00EF58B7"/>
    <w:rsid w:val="00EF72BE"/>
    <w:rsid w:val="00F004BB"/>
    <w:rsid w:val="00F5747C"/>
    <w:rsid w:val="503A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7">
    <w:name w:val="Hyperlink"/>
    <w:basedOn w:val="6"/>
    <w:uiPriority w:val="0"/>
    <w:rPr>
      <w:color w:val="0000FF"/>
      <w:u w:val="single"/>
    </w:rPr>
  </w:style>
  <w:style w:type="table" w:styleId="9">
    <w:name w:val="Table Grid"/>
    <w:basedOn w:val="8"/>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text1"/>
    <w:basedOn w:val="6"/>
    <w:uiPriority w:val="0"/>
    <w:rPr>
      <w:sz w:val="21"/>
      <w:szCs w:val="21"/>
    </w:rPr>
  </w:style>
  <w:style w:type="paragraph" w:customStyle="1" w:styleId="11">
    <w:name w:val="Char"/>
    <w:basedOn w:val="1"/>
    <w:uiPriority w:val="0"/>
    <w:pPr>
      <w:widowControl/>
      <w:jc w:val="left"/>
    </w:pPr>
    <w:rPr>
      <w:rFonts w:ascii="宋体" w:hAnsi="宋体" w:cs="宋体"/>
      <w:kern w:val="0"/>
      <w:sz w:val="24"/>
    </w:rPr>
  </w:style>
  <w:style w:type="character" w:customStyle="1" w:styleId="12">
    <w:name w:val="批注框文本 Char"/>
    <w:basedOn w:val="6"/>
    <w:link w:val="2"/>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COMMONORG</Company>
  <Pages>2</Pages>
  <Words>1674</Words>
  <Characters>244</Characters>
  <Lines>2</Lines>
  <Paragraphs>3</Paragraphs>
  <TotalTime>34</TotalTime>
  <ScaleCrop>false</ScaleCrop>
  <LinksUpToDate>false</LinksUpToDate>
  <CharactersWithSpaces>1915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2018-12-28T08:15:00Z</dcterms:created>
  <dc:creator>COMMON</dc:creator>
  <cp:lastModifiedBy>沧海一笑</cp:lastModifiedBy>
  <cp:lastPrinted>2011-06-27T06:19:00Z</cp:lastPrinted>
  <dcterms:modified xsi:type="dcterms:W3CDTF">2019-01-02T08:38:17Z</dcterms:modified>
  <dc:title>关于进一步做好实验室安全工作的通知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